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1D2EA0E1"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w:t>
            </w:r>
            <w:r w:rsidR="00CE377D">
              <w:rPr>
                <w:rFonts w:cstheme="minorHAnsi"/>
                <w:sz w:val="22"/>
                <w:szCs w:val="22"/>
              </w:rPr>
              <w:t xml:space="preserve">Subject Lead for </w:t>
            </w:r>
            <w:r w:rsidR="006E390A">
              <w:rPr>
                <w:rFonts w:cstheme="minorHAnsi"/>
                <w:sz w:val="22"/>
                <w:szCs w:val="22"/>
              </w:rPr>
              <w:t>Design Technology</w:t>
            </w:r>
            <w:r w:rsidR="00653D31">
              <w:rPr>
                <w:rFonts w:cstheme="minorHAnsi"/>
                <w:sz w:val="22"/>
                <w:szCs w:val="22"/>
              </w:rPr>
              <w:t xml:space="preserve"> </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w:t>
            </w:r>
            <w:proofErr w:type="gramStart"/>
            <w:r w:rsidRPr="0072453F">
              <w:rPr>
                <w:rFonts w:cstheme="minorHAnsi"/>
                <w:b/>
                <w:bCs/>
                <w:sz w:val="22"/>
                <w:szCs w:val="22"/>
              </w:rPr>
              <w:t>are able to</w:t>
            </w:r>
            <w:proofErr w:type="gramEnd"/>
            <w:r w:rsidRPr="0072453F">
              <w:rPr>
                <w:rFonts w:cstheme="minorHAnsi"/>
                <w:b/>
                <w:bCs/>
                <w:sz w:val="22"/>
                <w:szCs w:val="22"/>
              </w:rPr>
              <w:t xml:space="preserve">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045E" w14:textId="77777777" w:rsidR="00565A67" w:rsidRDefault="00565A67" w:rsidP="00BC4C60">
      <w:pPr>
        <w:spacing w:after="0" w:line="240" w:lineRule="auto"/>
      </w:pPr>
      <w:r>
        <w:separator/>
      </w:r>
    </w:p>
  </w:endnote>
  <w:endnote w:type="continuationSeparator" w:id="0">
    <w:p w14:paraId="670101A4" w14:textId="77777777" w:rsidR="00565A67" w:rsidRDefault="00565A67" w:rsidP="00BC4C60">
      <w:pPr>
        <w:spacing w:after="0" w:line="240" w:lineRule="auto"/>
      </w:pPr>
      <w:r>
        <w:continuationSeparator/>
      </w:r>
    </w:p>
  </w:endnote>
  <w:endnote w:type="continuationNotice" w:id="1">
    <w:p w14:paraId="68271A75" w14:textId="77777777" w:rsidR="00565A67" w:rsidRDefault="00565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680A" w14:textId="77777777" w:rsidR="00565A67" w:rsidRDefault="00565A67" w:rsidP="00BC4C60">
      <w:pPr>
        <w:spacing w:after="0" w:line="240" w:lineRule="auto"/>
      </w:pPr>
      <w:r>
        <w:separator/>
      </w:r>
    </w:p>
  </w:footnote>
  <w:footnote w:type="continuationSeparator" w:id="0">
    <w:p w14:paraId="1B0F237F" w14:textId="77777777" w:rsidR="00565A67" w:rsidRDefault="00565A67" w:rsidP="00BC4C60">
      <w:pPr>
        <w:spacing w:after="0" w:line="240" w:lineRule="auto"/>
      </w:pPr>
      <w:r>
        <w:continuationSeparator/>
      </w:r>
    </w:p>
  </w:footnote>
  <w:footnote w:type="continuationNotice" w:id="1">
    <w:p w14:paraId="3703C1BB" w14:textId="77777777" w:rsidR="00565A67" w:rsidRDefault="00565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E7125"/>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A67"/>
    <w:rsid w:val="00565E82"/>
    <w:rsid w:val="00580002"/>
    <w:rsid w:val="00584ED9"/>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53D31"/>
    <w:rsid w:val="006A2117"/>
    <w:rsid w:val="006C267D"/>
    <w:rsid w:val="006C5E3B"/>
    <w:rsid w:val="006D16BC"/>
    <w:rsid w:val="006E390A"/>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86E0C"/>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E377D"/>
    <w:rsid w:val="00CF2619"/>
    <w:rsid w:val="00D02F75"/>
    <w:rsid w:val="00D17ED7"/>
    <w:rsid w:val="00D26E4A"/>
    <w:rsid w:val="00D4232A"/>
    <w:rsid w:val="00D53547"/>
    <w:rsid w:val="00D56D8D"/>
    <w:rsid w:val="00D63334"/>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B589E"/>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936</Words>
  <Characters>5341</Characters>
  <Application>Microsoft Office Word</Application>
  <DocSecurity>0</DocSecurity>
  <Lines>44</Lines>
  <Paragraphs>12</Paragraphs>
  <ScaleCrop>false</ScaleCrop>
  <Company>South Hunsley School</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16</cp:revision>
  <cp:lastPrinted>2020-03-02T15:24:00Z</cp:lastPrinted>
  <dcterms:created xsi:type="dcterms:W3CDTF">2024-03-05T13:29:00Z</dcterms:created>
  <dcterms:modified xsi:type="dcterms:W3CDTF">2026-05-08T08:46:00Z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